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1015FC" w:rsidRDefault="001015FC" w:rsidP="001015FC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1015FC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22 สิงหาคม พ.ศ. 2565</w:t>
      </w:r>
    </w:p>
    <w:p w:rsidR="001015FC" w:rsidRPr="00651390" w:rsidRDefault="001015FC" w:rsidP="001015FC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  <w:cs/>
        </w:rPr>
      </w:pPr>
    </w:p>
    <w:p w:rsidR="00BD5B79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A508CD" w:rsidRPr="00A508CD">
        <w:rPr>
          <w:rFonts w:ascii="BrowalliaUPC" w:hAnsi="BrowalliaUPC" w:cs="BrowalliaUPC"/>
          <w:b/>
          <w:bCs/>
          <w:sz w:val="32"/>
          <w:szCs w:val="32"/>
          <w:cs/>
        </w:rPr>
        <w:t xml:space="preserve">3 </w:t>
      </w:r>
      <w:bookmarkStart w:id="0" w:name="_GoBack"/>
      <w:r w:rsidR="00A508CD" w:rsidRPr="00A508CD">
        <w:rPr>
          <w:rFonts w:ascii="BrowalliaUPC" w:hAnsi="BrowalliaUPC" w:cs="BrowalliaUPC"/>
          <w:b/>
          <w:bCs/>
          <w:sz w:val="32"/>
          <w:szCs w:val="32"/>
          <w:cs/>
        </w:rPr>
        <w:t>ร่างสัญญาซื้อขายก๊าซธรรมชาติเหลวระยะยาว (</w:t>
      </w:r>
      <w:r w:rsidR="00A508CD" w:rsidRPr="00A508CD">
        <w:rPr>
          <w:rFonts w:ascii="BrowalliaUPC" w:hAnsi="BrowalliaUPC" w:cs="BrowalliaUPC"/>
          <w:b/>
          <w:bCs/>
          <w:sz w:val="32"/>
          <w:szCs w:val="32"/>
        </w:rPr>
        <w:t xml:space="preserve">LNG SPA) </w:t>
      </w:r>
      <w:r w:rsidR="00A508CD" w:rsidRPr="00A508CD">
        <w:rPr>
          <w:rFonts w:ascii="BrowalliaUPC" w:hAnsi="BrowalliaUPC" w:cs="BrowalliaUPC"/>
          <w:b/>
          <w:bCs/>
          <w:sz w:val="32"/>
          <w:szCs w:val="32"/>
          <w:cs/>
        </w:rPr>
        <w:t>ระหว่าง บริษัท ปตท. จำกัด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A508CD" w:rsidRPr="00A508CD" w:rsidRDefault="00A508CD" w:rsidP="00A508C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508CD">
        <w:rPr>
          <w:rFonts w:ascii="BrowalliaUPC" w:hAnsi="BrowalliaUPC" w:cs="BrowalliaUPC"/>
          <w:sz w:val="32"/>
          <w:szCs w:val="32"/>
          <w:cs/>
        </w:rPr>
        <w:t>1. เมื่อวันที่ 1 เมษายน 2564 คณะกรรมการนโยบายพลังงานแห่งชาติ (</w:t>
      </w:r>
      <w:proofErr w:type="spellStart"/>
      <w:r w:rsidRPr="00A508C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A508CD">
        <w:rPr>
          <w:rFonts w:ascii="BrowalliaUPC" w:hAnsi="BrowalliaUPC" w:cs="BrowalliaUPC"/>
          <w:sz w:val="32"/>
          <w:szCs w:val="32"/>
          <w:cs/>
        </w:rPr>
        <w:t xml:space="preserve">.) ได้พิจารณา เรื่อง แนวทางการส่งเสริมการแข่งขันในกิจการก๊าซธรรมชาติ ระยะที่ 2 และเมื่อวันที่ 22 มิถุนายน 2564คณะรัฐมนตรี (ครม.) ได้รับทราบมติ </w:t>
      </w:r>
      <w:proofErr w:type="spellStart"/>
      <w:r w:rsidRPr="00A508C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A508CD">
        <w:rPr>
          <w:rFonts w:ascii="BrowalliaUPC" w:hAnsi="BrowalliaUPC" w:cs="BrowalliaUPC"/>
          <w:sz w:val="32"/>
          <w:szCs w:val="32"/>
          <w:cs/>
        </w:rPr>
        <w:t xml:space="preserve">. โดยเห็นชอบแนวทางการส่งเสริมการแข่งขันในกิจการก๊าซธรรมชาติ ระยะที่ 2 และมอบหมายให้หน่วยงานที่เกี่ยวข้องไปดำเนินการในรายละเอียด โดยมอบหมายให้บริษัท ปตท. จำกัด (มหาชน) (ปตท.) และกรมเชื้อเพลิงธรรมชาติ (ชธ.) พิจารณาปริมาณการจัดหาก๊าซธรรมชาติ และความสามารถที่เหลือที่จะนำเข้า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โดยไม่ส่งผลกระทบต่อภาระ </w:t>
      </w:r>
      <w:r w:rsidRPr="00A508CD">
        <w:rPr>
          <w:rFonts w:ascii="BrowalliaUPC" w:hAnsi="BrowalliaUPC" w:cs="BrowalliaUPC"/>
          <w:sz w:val="32"/>
          <w:szCs w:val="32"/>
        </w:rPr>
        <w:t xml:space="preserve">Take or Pay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และให้นำเสนอต่อคณะกรรมการบริหารนโยบายพลังงาน (กบง.) และ </w:t>
      </w:r>
      <w:proofErr w:type="spellStart"/>
      <w:r w:rsidRPr="00A508C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A508CD">
        <w:rPr>
          <w:rFonts w:ascii="BrowalliaUPC" w:hAnsi="BrowalliaUPC" w:cs="BrowalliaUPC"/>
          <w:sz w:val="32"/>
          <w:szCs w:val="32"/>
          <w:cs/>
        </w:rPr>
        <w:t xml:space="preserve">. เพื่อพิจารณาปริมาณการนำเข้า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ในระยะที่ 2 ให้แล้วเสร็จภายในไตรมาส 2 ปี 2564 โดยมอบหมายให้คณะกรรมการกำกับกิจการพลังงาน (กกพ.) เป็นผู้กำกับดูแล ต่อมา เมื่อวันที่ 23 ธันวาคม 2564 กบง. ได้พิจารณาสถานการณ์การจัดหาก๊าซธรรมชาติจากแหล่งเอราวัณ และทบทวนปริมาณการนำเข้า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ปี 2565 - 2567 โดยมีมติเห็นชอบความสามารถในการนำเข้า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สำหรับปีดังกล่าวรวม 4.5 5.2 และ 5.0 ล้านตัน ตามลำดับ ทั้งนี้ หากพบว่าปริมาณความสามารถในการนำเข้า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มีการเปลี่ยนแปลงเพิ่มขึ้นจากตัวเลขดังกล่าว ให้ ชธ. และ ปตท. เสนอต่อ กบง. เพื่อพิจารณาทบทวน และมอบหมายให้ กกพ. เป็นผู้บริหารจัดการปริมาณการนำเข้า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ปี 2565 - 2567 และกำกับดูแล นอกจากนี้ เมื่อวันที่ 6 มกราคม 2565 </w:t>
      </w:r>
      <w:proofErr w:type="spellStart"/>
      <w:r w:rsidRPr="00A508C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A508CD">
        <w:rPr>
          <w:rFonts w:ascii="BrowalliaUPC" w:hAnsi="BrowalliaUPC" w:cs="BrowalliaUPC"/>
          <w:sz w:val="32"/>
          <w:szCs w:val="32"/>
          <w:cs/>
        </w:rPr>
        <w:t xml:space="preserve">. ได้มีมติเห็นชอบหลักเกณฑ์ราคานำเข้า </w:t>
      </w:r>
      <w:r w:rsidRPr="00A508CD">
        <w:rPr>
          <w:rFonts w:ascii="BrowalliaUPC" w:hAnsi="BrowalliaUPC" w:cs="BrowalliaUPC"/>
          <w:sz w:val="32"/>
          <w:szCs w:val="32"/>
        </w:rPr>
        <w:t xml:space="preserve">LNG (LNG Benchmark) </w:t>
      </w:r>
      <w:r w:rsidRPr="00A508CD">
        <w:rPr>
          <w:rFonts w:ascii="BrowalliaUPC" w:hAnsi="BrowalliaUPC" w:cs="BrowalliaUPC"/>
          <w:sz w:val="32"/>
          <w:szCs w:val="32"/>
          <w:cs/>
        </w:rPr>
        <w:t>สำหรับกลุ่มที่อยู่ภายใต้การกำกับดูแลของ กกพ. (</w:t>
      </w:r>
      <w:r w:rsidRPr="00A508CD">
        <w:rPr>
          <w:rFonts w:ascii="BrowalliaUPC" w:hAnsi="BrowalliaUPC" w:cs="BrowalliaUPC"/>
          <w:sz w:val="32"/>
          <w:szCs w:val="32"/>
        </w:rPr>
        <w:t xml:space="preserve">Regulated Market)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เป็น 3 รูปแบบ ได้แก่ สมการในรูปแบบเส้นตรงที่อ้างอิงราคาน้ำมัน สมการในรูปแบบเส้นตรงที่อ้างอิงราคาก๊าซธรรมชาติ และสมการในรูปแบบ </w:t>
      </w:r>
      <w:r w:rsidRPr="00A508CD">
        <w:rPr>
          <w:rFonts w:ascii="BrowalliaUPC" w:hAnsi="BrowalliaUPC" w:cs="BrowalliaUPC"/>
          <w:sz w:val="32"/>
          <w:szCs w:val="32"/>
        </w:rPr>
        <w:t xml:space="preserve">Hybrid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ซึ่งอ้างอิงทั้งราคาน้ำมันและก๊าซธรรมชาติ และมีจุดหักมุม และมอบหมายให้ กกพ. เป็นผู้กำกับดูแลและพิจารณาในรายละเอียดของหลักเกณฑ์ราคานำเข้า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สำหรับกลุ่ม </w:t>
      </w:r>
      <w:r w:rsidRPr="00A508CD">
        <w:rPr>
          <w:rFonts w:ascii="BrowalliaUPC" w:hAnsi="BrowalliaUPC" w:cs="BrowalliaUPC"/>
          <w:sz w:val="32"/>
          <w:szCs w:val="32"/>
        </w:rPr>
        <w:t xml:space="preserve">Regulated Market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และต่อมา เมื่อวันที่ 9 มีนาคม 2565 </w:t>
      </w:r>
      <w:proofErr w:type="spellStart"/>
      <w:r w:rsidRPr="00A508C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A508CD">
        <w:rPr>
          <w:rFonts w:ascii="BrowalliaUPC" w:hAnsi="BrowalliaUPC" w:cs="BrowalliaUPC"/>
          <w:sz w:val="32"/>
          <w:szCs w:val="32"/>
          <w:cs/>
        </w:rPr>
        <w:t>. ได้มีมติเห็นชอบหลักเกณฑ์การคำนวณและการดำเนินการเกี่ยวกับราคา ก๊าซธรรมชาติภายใต้การกำกับของ กกพ. ทั้งนี้ เพื่อสนับสนุนให้มีการแข่งขันที่เป็นธรรม ควรให้ผู้ใช้ก๊าซธรรมชาติรายเดิมที่มีสัญญาซื้อขายก๊าซธรรมชาติกับผู้ประกอบการจัดหาและค้าส่งก๊าซธรรมชาติ (</w:t>
      </w:r>
      <w:r w:rsidRPr="00A508CD">
        <w:rPr>
          <w:rFonts w:ascii="BrowalliaUPC" w:hAnsi="BrowalliaUPC" w:cs="BrowalliaUPC"/>
          <w:sz w:val="32"/>
          <w:szCs w:val="32"/>
        </w:rPr>
        <w:t xml:space="preserve">Shipper)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รายเดิม สามารถเจรจาตกลงกันระหว่างคู่สัญญา เพื่อแก้ไข เปลี่ยนแปลง หรือยกเลิกสัญญาได้ เพื่อเตรียมความพร้อมรองรับการเปิดตลาดเสรีในกิจการก๊าซธรรมชาติต่อไปในอนาคต ทั้งนี้ กบง. ในการประชุมเมื่อวันที่ 30 มิถุนายน 2565 และ </w:t>
      </w:r>
      <w:proofErr w:type="spellStart"/>
      <w:r w:rsidRPr="00A508C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A508CD">
        <w:rPr>
          <w:rFonts w:ascii="BrowalliaUPC" w:hAnsi="BrowalliaUPC" w:cs="BrowalliaUPC"/>
          <w:sz w:val="32"/>
          <w:szCs w:val="32"/>
          <w:cs/>
        </w:rPr>
        <w:t xml:space="preserve">. ในการประชุมเมื่อวันที่ 6 กรกฎาคม 2565 ได้พิจารณาข้อเสนอการจัดหา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สัญญาระยะยาว ของ ปตท. โดย </w:t>
      </w:r>
      <w:proofErr w:type="spellStart"/>
      <w:r w:rsidRPr="00A508C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A508CD">
        <w:rPr>
          <w:rFonts w:ascii="BrowalliaUPC" w:hAnsi="BrowalliaUPC" w:cs="BrowalliaUPC"/>
          <w:sz w:val="32"/>
          <w:szCs w:val="32"/>
          <w:cs/>
        </w:rPr>
        <w:t xml:space="preserve">. ได้มีมติ ดังนี้ (1) </w:t>
      </w:r>
      <w:r w:rsidRPr="00A508CD">
        <w:rPr>
          <w:rFonts w:ascii="BrowalliaUPC" w:hAnsi="BrowalliaUPC" w:cs="BrowalliaUPC"/>
          <w:sz w:val="32"/>
          <w:szCs w:val="32"/>
          <w:cs/>
        </w:rPr>
        <w:lastRenderedPageBreak/>
        <w:t xml:space="preserve">เห็นชอบให้ ปตท. จัดหา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สัญญาระยะยาว ปริมาณ 1 ล้านตันต่อปี เพิ่มเติมจากสัญญาระยะยาวที่มีการลงนามแล้ว 5.2 ล้านตันต่อปี โดยนำต้นทุนการจัดหารวมเข้าไปคำนวณเฉลี่ยในราคา </w:t>
      </w:r>
      <w:r w:rsidRPr="00A508CD">
        <w:rPr>
          <w:rFonts w:ascii="BrowalliaUPC" w:hAnsi="BrowalliaUPC" w:cs="BrowalliaUPC"/>
          <w:sz w:val="32"/>
          <w:szCs w:val="32"/>
        </w:rPr>
        <w:t xml:space="preserve">Pool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และรับทราบสาระสำคัญการจัดหา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สัญญาระยะยาวของ ปตท. (2) มอบหมายให้ กกพ. เป็นผู้กำกับดูแลให้ราคาเป็นไปตามหลักเกณฑ์ที่ </w:t>
      </w:r>
      <w:proofErr w:type="spellStart"/>
      <w:r w:rsidRPr="00A508C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A508CD">
        <w:rPr>
          <w:rFonts w:ascii="BrowalliaUPC" w:hAnsi="BrowalliaUPC" w:cs="BrowalliaUPC"/>
          <w:sz w:val="32"/>
          <w:szCs w:val="32"/>
          <w:cs/>
        </w:rPr>
        <w:t xml:space="preserve">. กำหนด และให้ ปตท. นำสัญญาซื้อขาย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สัญญาระยะยาวเสนอ กบง. พิจารณาให้ความเห็นชอบก่อนดำเนินการต่อไป และ (3) มอบหมายให้ กกพ. ดำเนินการติดตามผลกระทบต่อราคาพลังงานจากการจัดหา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>สัญญาระยะยาวของ ปตท. อย่างใกล้ชิด เพื่อมิให้ส่งผลกระทบ ต่อราคาพลังงานของประเทศในอนาคต</w:t>
      </w:r>
    </w:p>
    <w:p w:rsidR="00A508CD" w:rsidRPr="00A508CD" w:rsidRDefault="00A508CD" w:rsidP="00A508C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508CD" w:rsidRPr="00A508CD" w:rsidRDefault="00A508CD" w:rsidP="00A508C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508CD">
        <w:rPr>
          <w:rFonts w:ascii="BrowalliaUPC" w:hAnsi="BrowalliaUPC" w:cs="BrowalliaUPC"/>
          <w:sz w:val="32"/>
          <w:szCs w:val="32"/>
          <w:cs/>
        </w:rPr>
        <w:t xml:space="preserve">        2. ปตท. ได้เจรจากับผู้ขาย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อย่างต่อเนื่อง ทั้งโครงการจากตะวันออกกลาง สหรัฐอเมริกา (สหรัฐฯ) รวมถึงผู้ขายลักษณะ </w:t>
      </w:r>
      <w:r w:rsidRPr="00A508CD">
        <w:rPr>
          <w:rFonts w:ascii="BrowalliaUPC" w:hAnsi="BrowalliaUPC" w:cs="BrowalliaUPC"/>
          <w:sz w:val="32"/>
          <w:szCs w:val="32"/>
        </w:rPr>
        <w:t xml:space="preserve">Portfolio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แต่เนื่องจากตลาดอยู่ในสภาวะตึงตัว การพัฒนาโครงการ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ใหม่ ยังมีจำกัด ผู้ซื้อจากฝั่งยุโรปเร่งจัดหาเพิ่มเติม ทำให้ข้อเสนอขายของผู้ขาย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หลายรายมีกำหนดการยืนราคาค่อนข้างสั้น และมีเงื่อนไขการขายที่มีความยืดหยุ่นต่ำ ทำให้ปัจจุบันมีผู้ขาย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>ที่ยื่นข้อเสนอให้ ปตท. พิจารณาตามปริมาณ และเงื่อนไขที่ยอมรับได้รวม 4 ราย โดยข้อเสนอราคาของบริษัท พีทีที โกลบอล แอลเอ็นจี จำกัด (</w:t>
      </w:r>
      <w:r w:rsidRPr="00A508CD">
        <w:rPr>
          <w:rFonts w:ascii="BrowalliaUPC" w:hAnsi="BrowalliaUPC" w:cs="BrowalliaUPC"/>
          <w:sz w:val="32"/>
          <w:szCs w:val="32"/>
        </w:rPr>
        <w:t xml:space="preserve">PTTGL)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เป็นข้อเสนอที่ดีที่สุดเมื่อเทียบกับผู้ขายรายอื่น ซึ่งมีข้อได้เปรียบในเงื่อนไขสัญญา ดังนี้ (1) </w:t>
      </w:r>
      <w:r w:rsidRPr="00A508CD">
        <w:rPr>
          <w:rFonts w:ascii="BrowalliaUPC" w:hAnsi="BrowalliaUPC" w:cs="BrowalliaUPC"/>
          <w:sz w:val="32"/>
          <w:szCs w:val="32"/>
        </w:rPr>
        <w:t xml:space="preserve">PTTGL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นำเสนอเงื่อนไขสัญญาที่ยืดหยุ่นกว่าผู้ขายรายอื่น อาทิ </w:t>
      </w:r>
      <w:r w:rsidRPr="00A508CD">
        <w:rPr>
          <w:rFonts w:ascii="BrowalliaUPC" w:hAnsi="BrowalliaUPC" w:cs="BrowalliaUPC"/>
          <w:sz w:val="32"/>
          <w:szCs w:val="32"/>
        </w:rPr>
        <w:t xml:space="preserve">PTTGL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เสนอขาย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>ตั้งแต่ปี 2569 ด้วยเงื่อนไข การส่งมอบที่ปลายทาง (</w:t>
      </w:r>
      <w:r w:rsidRPr="00A508CD">
        <w:rPr>
          <w:rFonts w:ascii="BrowalliaUPC" w:hAnsi="BrowalliaUPC" w:cs="BrowalliaUPC"/>
          <w:sz w:val="32"/>
          <w:szCs w:val="32"/>
        </w:rPr>
        <w:t xml:space="preserve">Delivery Ex-Ship: DES) </w:t>
      </w:r>
      <w:r w:rsidRPr="00A508CD">
        <w:rPr>
          <w:rFonts w:ascii="BrowalliaUPC" w:hAnsi="BrowalliaUPC" w:cs="BrowalliaUPC"/>
          <w:sz w:val="32"/>
          <w:szCs w:val="32"/>
          <w:cs/>
        </w:rPr>
        <w:t>ตลอดอายุสัญญา โดยกรณีผู้ขายขาดส่ง (</w:t>
      </w:r>
      <w:r w:rsidRPr="00A508CD">
        <w:rPr>
          <w:rFonts w:ascii="BrowalliaUPC" w:hAnsi="BrowalliaUPC" w:cs="BrowalliaUPC"/>
          <w:sz w:val="32"/>
          <w:szCs w:val="32"/>
        </w:rPr>
        <w:t xml:space="preserve">Seller’s Shortfall)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จะชดเชยไม่เกินร้อยละ 50 ของมูลค่า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>ที่ขาดส่ง และผู้ขายให้สิทธิในการปรับลด (</w:t>
      </w:r>
      <w:r w:rsidRPr="00A508CD">
        <w:rPr>
          <w:rFonts w:ascii="BrowalliaUPC" w:hAnsi="BrowalliaUPC" w:cs="BrowalliaUPC"/>
          <w:sz w:val="32"/>
          <w:szCs w:val="32"/>
        </w:rPr>
        <w:t xml:space="preserve">DQT) </w:t>
      </w:r>
      <w:r w:rsidRPr="00A508CD">
        <w:rPr>
          <w:rFonts w:ascii="BrowalliaUPC" w:hAnsi="BrowalliaUPC" w:cs="BrowalliaUPC"/>
          <w:sz w:val="32"/>
          <w:szCs w:val="32"/>
          <w:cs/>
        </w:rPr>
        <w:t>และปรับเพิ่มจำนวน (</w:t>
      </w:r>
      <w:r w:rsidRPr="00A508CD">
        <w:rPr>
          <w:rFonts w:ascii="BrowalliaUPC" w:hAnsi="BrowalliaUPC" w:cs="BrowalliaUPC"/>
          <w:sz w:val="32"/>
          <w:szCs w:val="32"/>
        </w:rPr>
        <w:t xml:space="preserve">UQT) </w:t>
      </w:r>
      <w:r w:rsidRPr="00A508CD">
        <w:rPr>
          <w:rFonts w:ascii="BrowalliaUPC" w:hAnsi="BrowalliaUPC" w:cs="BrowalliaUPC"/>
          <w:sz w:val="32"/>
          <w:szCs w:val="32"/>
          <w:cs/>
        </w:rPr>
        <w:t>เที่ยวเรือ รวมถึงสิทธิในการยกเลิกเที่ยวเรือ (</w:t>
      </w:r>
      <w:r w:rsidRPr="00A508CD">
        <w:rPr>
          <w:rFonts w:ascii="BrowalliaUPC" w:hAnsi="BrowalliaUPC" w:cs="BrowalliaUPC"/>
          <w:sz w:val="32"/>
          <w:szCs w:val="32"/>
        </w:rPr>
        <w:t xml:space="preserve">Cancellation)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นอกจากนี้ ผู้ขายยังเสนอขาย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>ปริมาณ 0.2 - 0.4 ล้านตันต่อปี (</w:t>
      </w:r>
      <w:r w:rsidRPr="00A508CD">
        <w:rPr>
          <w:rFonts w:ascii="BrowalliaUPC" w:hAnsi="BrowalliaUPC" w:cs="BrowalliaUPC"/>
          <w:sz w:val="32"/>
          <w:szCs w:val="32"/>
        </w:rPr>
        <w:t xml:space="preserve">Bridging Volume)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ในช่วงปี 2566 - 2568 ที่ราคา </w:t>
      </w:r>
      <w:r w:rsidRPr="00A508CD">
        <w:rPr>
          <w:rFonts w:ascii="BrowalliaUPC" w:hAnsi="BrowalliaUPC" w:cs="BrowalliaUPC"/>
          <w:sz w:val="32"/>
          <w:szCs w:val="32"/>
        </w:rPr>
        <w:t xml:space="preserve">JKM Discount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ซึ่งจะมีแผนส่งมอบที่ชัดเจน หาก ปตท. มีความต้องการใช้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ในช่วงเวลาดังกล่าว (2) </w:t>
      </w:r>
      <w:r w:rsidRPr="00A508CD">
        <w:rPr>
          <w:rFonts w:ascii="BrowalliaUPC" w:hAnsi="BrowalliaUPC" w:cs="BrowalliaUPC"/>
          <w:sz w:val="32"/>
          <w:szCs w:val="32"/>
        </w:rPr>
        <w:t xml:space="preserve">PTTGL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เสนอสูตรราคาขาย ที่อ้างอิงราคาก๊าซธรรมชาติ </w:t>
      </w:r>
      <w:r w:rsidRPr="00A508CD">
        <w:rPr>
          <w:rFonts w:ascii="BrowalliaUPC" w:hAnsi="BrowalliaUPC" w:cs="BrowalliaUPC"/>
          <w:sz w:val="32"/>
          <w:szCs w:val="32"/>
        </w:rPr>
        <w:t xml:space="preserve">Henry Hub (HH Link)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ที่ </w:t>
      </w:r>
      <w:r w:rsidRPr="00A508CD">
        <w:rPr>
          <w:rFonts w:ascii="BrowalliaUPC" w:hAnsi="BrowalliaUPC" w:cs="BrowalliaUPC"/>
          <w:sz w:val="32"/>
          <w:szCs w:val="32"/>
        </w:rPr>
        <w:t xml:space="preserve">A%HH + Y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โดยร้อยละ 26 ของ </w:t>
      </w:r>
      <w:r w:rsidRPr="00A508CD">
        <w:rPr>
          <w:rFonts w:ascii="BrowalliaUPC" w:hAnsi="BrowalliaUPC" w:cs="BrowalliaUPC"/>
          <w:sz w:val="32"/>
          <w:szCs w:val="32"/>
        </w:rPr>
        <w:t xml:space="preserve">Y </w:t>
      </w:r>
      <w:r w:rsidRPr="00A508CD">
        <w:rPr>
          <w:rFonts w:ascii="BrowalliaUPC" w:hAnsi="BrowalliaUPC" w:cs="BrowalliaUPC"/>
          <w:sz w:val="32"/>
          <w:szCs w:val="32"/>
          <w:cs/>
        </w:rPr>
        <w:t>จะปรับเพิ่มขึ้นรายปีตามดัชนีราคาผู้บริโภค (</w:t>
      </w:r>
      <w:r w:rsidRPr="00A508CD">
        <w:rPr>
          <w:rFonts w:ascii="BrowalliaUPC" w:hAnsi="BrowalliaUPC" w:cs="BrowalliaUPC"/>
          <w:sz w:val="32"/>
          <w:szCs w:val="32"/>
        </w:rPr>
        <w:t xml:space="preserve">US CPI) </w:t>
      </w:r>
      <w:r w:rsidRPr="00A508CD">
        <w:rPr>
          <w:rFonts w:ascii="BrowalliaUPC" w:hAnsi="BrowalliaUPC" w:cs="BrowalliaUPC"/>
          <w:sz w:val="32"/>
          <w:szCs w:val="32"/>
          <w:cs/>
        </w:rPr>
        <w:t>ซึ่งราคาขายดังกล่าวจะต่ำกว่าสูตรราคาที่อ้างอิงราคาน้ำมัน (</w:t>
      </w:r>
      <w:r w:rsidRPr="00A508CD">
        <w:rPr>
          <w:rFonts w:ascii="BrowalliaUPC" w:hAnsi="BrowalliaUPC" w:cs="BrowalliaUPC"/>
          <w:sz w:val="32"/>
          <w:szCs w:val="32"/>
        </w:rPr>
        <w:t xml:space="preserve">Oil Link)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เมื่อราคาน้ำมันอยู่ในระดับที่สูงกว่า 80 เหรียญสหรัฐฯ ต่อบาร์เรล ทั้งนี้ บริษัทที่ปรึกษาด้านพลังงาน </w:t>
      </w:r>
      <w:r w:rsidRPr="00A508CD">
        <w:rPr>
          <w:rFonts w:ascii="BrowalliaUPC" w:hAnsi="BrowalliaUPC" w:cs="BrowalliaUPC"/>
          <w:sz w:val="32"/>
          <w:szCs w:val="32"/>
        </w:rPr>
        <w:t xml:space="preserve">Wood Mackenzie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ได้คาดการณ์ว่าในช่วงปี 2565 - 2571 ราคาน้ำมันดิบ </w:t>
      </w:r>
      <w:r w:rsidRPr="00A508CD">
        <w:rPr>
          <w:rFonts w:ascii="BrowalliaUPC" w:hAnsi="BrowalliaUPC" w:cs="BrowalliaUPC"/>
          <w:sz w:val="32"/>
          <w:szCs w:val="32"/>
        </w:rPr>
        <w:t xml:space="preserve">Brent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มีแนวโน้มปรับตัวสูงขึ้นต่อเนื่อง และราคาจะอยู่ในระดับสูงกว่า 80 - 120 เหรียญสหรัฐฯ ต่อบาร์เรล ในขณะที่ราคาก๊าซธรรมชาติ </w:t>
      </w:r>
      <w:r w:rsidRPr="00A508CD">
        <w:rPr>
          <w:rFonts w:ascii="BrowalliaUPC" w:hAnsi="BrowalliaUPC" w:cs="BrowalliaUPC"/>
          <w:sz w:val="32"/>
          <w:szCs w:val="32"/>
        </w:rPr>
        <w:t xml:space="preserve">HH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จะปรับตัวอยู่ในกรอบ 3 - 5 เหรียญสหรัฐฯ ต่อล้านบีทียู ดังนั้น ข้อเสนอราคาของ </w:t>
      </w:r>
      <w:r w:rsidRPr="00A508CD">
        <w:rPr>
          <w:rFonts w:ascii="BrowalliaUPC" w:hAnsi="BrowalliaUPC" w:cs="BrowalliaUPC"/>
          <w:sz w:val="32"/>
          <w:szCs w:val="32"/>
        </w:rPr>
        <w:t xml:space="preserve">PTTGL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จึงมีระดับราคาที่แข่งขันได้ กับผู้ขายรายอื่น ทั้งสูตรราคา </w:t>
      </w:r>
      <w:r w:rsidRPr="00A508CD">
        <w:rPr>
          <w:rFonts w:ascii="BrowalliaUPC" w:hAnsi="BrowalliaUPC" w:cs="BrowalliaUPC"/>
          <w:sz w:val="32"/>
          <w:szCs w:val="32"/>
        </w:rPr>
        <w:t xml:space="preserve">Oil Link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A508CD">
        <w:rPr>
          <w:rFonts w:ascii="BrowalliaUPC" w:hAnsi="BrowalliaUPC" w:cs="BrowalliaUPC"/>
          <w:sz w:val="32"/>
          <w:szCs w:val="32"/>
        </w:rPr>
        <w:t xml:space="preserve">HH Link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เมื่อเปรียบเทียบที่ระดับราคาน้ำมันสูงกว่า 80 เหรียญสหรัฐฯ ต่อบาร์เรล ตามสมมติฐานข้างต้น ซึ่งหากนำข้อเสนอราคาของ </w:t>
      </w:r>
      <w:r w:rsidRPr="00A508CD">
        <w:rPr>
          <w:rFonts w:ascii="BrowalliaUPC" w:hAnsi="BrowalliaUPC" w:cs="BrowalliaUPC"/>
          <w:sz w:val="32"/>
          <w:szCs w:val="32"/>
        </w:rPr>
        <w:t xml:space="preserve">PTTGL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มาคำนวณรวมกับราคา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สัญญาระยะยาวของ ปตท. จะทำให้ประมาณการค่าเฉลี่ยราคา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สัญญาระยะยาวของ ปตท. ลดลงด้วย นอกจากนี้ การรับซื้อ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จาก </w:t>
      </w:r>
      <w:r w:rsidRPr="00A508CD">
        <w:rPr>
          <w:rFonts w:ascii="BrowalliaUPC" w:hAnsi="BrowalliaUPC" w:cs="BrowalliaUPC"/>
          <w:sz w:val="32"/>
          <w:szCs w:val="32"/>
        </w:rPr>
        <w:t xml:space="preserve">PTTGL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ที่อ้างอิงสูตรราคา </w:t>
      </w:r>
      <w:r w:rsidRPr="00A508CD">
        <w:rPr>
          <w:rFonts w:ascii="BrowalliaUPC" w:hAnsi="BrowalliaUPC" w:cs="BrowalliaUPC"/>
          <w:sz w:val="32"/>
          <w:szCs w:val="32"/>
        </w:rPr>
        <w:t xml:space="preserve">HH Link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เสมือน ปตท. จัดหาจากโครงการในสหรัฐฯ โดยตรง ทำให้มีสัดส่วน </w:t>
      </w:r>
      <w:r w:rsidRPr="00A508CD">
        <w:rPr>
          <w:rFonts w:ascii="BrowalliaUPC" w:hAnsi="BrowalliaUPC" w:cs="BrowalliaUPC"/>
          <w:sz w:val="32"/>
          <w:szCs w:val="32"/>
        </w:rPr>
        <w:t xml:space="preserve">HH index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เข้ามาใน </w:t>
      </w:r>
      <w:r w:rsidRPr="00A508CD">
        <w:rPr>
          <w:rFonts w:ascii="BrowalliaUPC" w:hAnsi="BrowalliaUPC" w:cs="BrowalliaUPC"/>
          <w:sz w:val="32"/>
          <w:szCs w:val="32"/>
        </w:rPr>
        <w:t xml:space="preserve">Portfolio </w:t>
      </w:r>
      <w:r w:rsidRPr="00A508CD">
        <w:rPr>
          <w:rFonts w:ascii="BrowalliaUPC" w:hAnsi="BrowalliaUPC" w:cs="BrowalliaUPC"/>
          <w:sz w:val="32"/>
          <w:szCs w:val="32"/>
          <w:cs/>
        </w:rPr>
        <w:t>มากขึ้น จึงเป็นการกระจายความเสี่ยงด้านราคา(</w:t>
      </w:r>
      <w:r w:rsidRPr="00A508CD">
        <w:rPr>
          <w:rFonts w:ascii="BrowalliaUPC" w:hAnsi="BrowalliaUPC" w:cs="BrowalliaUPC"/>
          <w:sz w:val="32"/>
          <w:szCs w:val="32"/>
        </w:rPr>
        <w:t xml:space="preserve">Diversified Portfolio) </w:t>
      </w:r>
      <w:r w:rsidRPr="00A508CD">
        <w:rPr>
          <w:rFonts w:ascii="BrowalliaUPC" w:hAnsi="BrowalliaUPC" w:cs="BrowalliaUPC"/>
          <w:sz w:val="32"/>
          <w:szCs w:val="32"/>
          <w:cs/>
        </w:rPr>
        <w:t>จากปัจจุบันที่ ปตท. มี</w:t>
      </w:r>
      <w:r w:rsidRPr="00A508CD">
        <w:rPr>
          <w:rFonts w:ascii="BrowalliaUPC" w:hAnsi="BrowalliaUPC" w:cs="BrowalliaUPC"/>
          <w:sz w:val="32"/>
          <w:szCs w:val="32"/>
          <w:cs/>
        </w:rPr>
        <w:lastRenderedPageBreak/>
        <w:t xml:space="preserve">สัญญากับ </w:t>
      </w:r>
      <w:proofErr w:type="spellStart"/>
      <w:r w:rsidRPr="00A508CD">
        <w:rPr>
          <w:rFonts w:ascii="BrowalliaUPC" w:hAnsi="BrowalliaUPC" w:cs="BrowalliaUPC"/>
          <w:sz w:val="32"/>
          <w:szCs w:val="32"/>
        </w:rPr>
        <w:t>Qatargas</w:t>
      </w:r>
      <w:proofErr w:type="spellEnd"/>
      <w:r w:rsidRPr="00A508CD">
        <w:rPr>
          <w:rFonts w:ascii="BrowalliaUPC" w:hAnsi="BrowalliaUPC" w:cs="BrowalliaUPC"/>
          <w:sz w:val="32"/>
          <w:szCs w:val="32"/>
        </w:rPr>
        <w:t xml:space="preserve">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ซึ่งอ้างอิงราคาน้ำมัน </w:t>
      </w:r>
      <w:r w:rsidRPr="00A508CD">
        <w:rPr>
          <w:rFonts w:ascii="BrowalliaUPC" w:hAnsi="BrowalliaUPC" w:cs="BrowalliaUPC"/>
          <w:sz w:val="32"/>
          <w:szCs w:val="32"/>
        </w:rPr>
        <w:t xml:space="preserve">JCC (Japanese Crude Cocktail)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ร้อยละ 100 และสัญญากับ </w:t>
      </w:r>
      <w:r w:rsidRPr="00A508CD">
        <w:rPr>
          <w:rFonts w:ascii="BrowalliaUPC" w:hAnsi="BrowalliaUPC" w:cs="BrowalliaUPC"/>
          <w:sz w:val="32"/>
          <w:szCs w:val="32"/>
        </w:rPr>
        <w:t xml:space="preserve">Shell BP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A508CD">
        <w:rPr>
          <w:rFonts w:ascii="BrowalliaUPC" w:hAnsi="BrowalliaUPC" w:cs="BrowalliaUPC"/>
          <w:sz w:val="32"/>
          <w:szCs w:val="32"/>
        </w:rPr>
        <w:t xml:space="preserve">Petronas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ที่อ้างอิงราคาน้ำมัน และ </w:t>
      </w:r>
      <w:r w:rsidRPr="00A508CD">
        <w:rPr>
          <w:rFonts w:ascii="BrowalliaUPC" w:hAnsi="BrowalliaUPC" w:cs="BrowalliaUPC"/>
          <w:sz w:val="32"/>
          <w:szCs w:val="32"/>
        </w:rPr>
        <w:t xml:space="preserve">HH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ที่สัดส่วน 50 : 50 อีกทั้งสอดคล้องกับสัดส่วนปริมาณ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จากโครงการในสหรัฐฯ ในตลาด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>ปัจจุบัน ประกอบกับโครงการส่วนใหญ่ในสหรัฐฯ จะมีการส่งมอบที่ต้นทาง (</w:t>
      </w:r>
      <w:r w:rsidRPr="00A508CD">
        <w:rPr>
          <w:rFonts w:ascii="BrowalliaUPC" w:hAnsi="BrowalliaUPC" w:cs="BrowalliaUPC"/>
          <w:sz w:val="32"/>
          <w:szCs w:val="32"/>
        </w:rPr>
        <w:t xml:space="preserve">Free On Board: FOB)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แต่ </w:t>
      </w:r>
      <w:r w:rsidRPr="00A508CD">
        <w:rPr>
          <w:rFonts w:ascii="BrowalliaUPC" w:hAnsi="BrowalliaUPC" w:cs="BrowalliaUPC"/>
          <w:sz w:val="32"/>
          <w:szCs w:val="32"/>
        </w:rPr>
        <w:t xml:space="preserve">PTTGL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เสนอเงื่อนไขการ ส่งมอบที่ปลายทางตลอดอายุสัญญาฯ จึงทำให้ ปตท. ไม่ต้องรับความเสี่ยงจากความผันผวนของค่าขนส่ง และการส่งผ่านราคาลง </w:t>
      </w:r>
      <w:r w:rsidRPr="00A508CD">
        <w:rPr>
          <w:rFonts w:ascii="BrowalliaUPC" w:hAnsi="BrowalliaUPC" w:cs="BrowalliaUPC"/>
          <w:sz w:val="32"/>
          <w:szCs w:val="32"/>
        </w:rPr>
        <w:t xml:space="preserve">Pool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จะเป็นไปตามหลักเกณฑ์ที่ภาครัฐกำหนด และ (3) </w:t>
      </w:r>
      <w:r w:rsidRPr="00A508CD">
        <w:rPr>
          <w:rFonts w:ascii="BrowalliaUPC" w:hAnsi="BrowalliaUPC" w:cs="BrowalliaUPC"/>
          <w:sz w:val="32"/>
          <w:szCs w:val="32"/>
        </w:rPr>
        <w:t xml:space="preserve">PTTGL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ซื้อ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จากบริษัท </w:t>
      </w:r>
      <w:r w:rsidRPr="00A508CD">
        <w:rPr>
          <w:rFonts w:ascii="BrowalliaUPC" w:hAnsi="BrowalliaUPC" w:cs="BrowalliaUPC"/>
          <w:sz w:val="32"/>
          <w:szCs w:val="32"/>
        </w:rPr>
        <w:t xml:space="preserve">Cheniere Energy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ซึ่งเป็นผู้ผลิต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ชั้นนำลำดับ 2 ของโลก และส่งออก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อันดับ 1 ของสหรัฐฯ โดยมีโครงการผลิตที่สำคัญ 2 โครงการ ได้แก่ </w:t>
      </w:r>
      <w:r w:rsidRPr="00A508CD">
        <w:rPr>
          <w:rFonts w:ascii="BrowalliaUPC" w:hAnsi="BrowalliaUPC" w:cs="BrowalliaUPC"/>
          <w:sz w:val="32"/>
          <w:szCs w:val="32"/>
        </w:rPr>
        <w:t xml:space="preserve">Sabine Pass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A508CD">
        <w:rPr>
          <w:rFonts w:ascii="BrowalliaUPC" w:hAnsi="BrowalliaUPC" w:cs="BrowalliaUPC"/>
          <w:sz w:val="32"/>
          <w:szCs w:val="32"/>
        </w:rPr>
        <w:t xml:space="preserve">Corpus Christi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กำลังการผลิต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รวม 45 ล้านตันต่อปี และมีกำหนดการผลิต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ออกสู่ตลาดที่ชัดเจน ดังนั้น การรับซื้อ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จาก </w:t>
      </w:r>
      <w:r w:rsidRPr="00A508CD">
        <w:rPr>
          <w:rFonts w:ascii="BrowalliaUPC" w:hAnsi="BrowalliaUPC" w:cs="BrowalliaUPC"/>
          <w:sz w:val="32"/>
          <w:szCs w:val="32"/>
        </w:rPr>
        <w:t xml:space="preserve">PTTGL </w:t>
      </w:r>
      <w:r w:rsidRPr="00A508CD">
        <w:rPr>
          <w:rFonts w:ascii="BrowalliaUPC" w:hAnsi="BrowalliaUPC" w:cs="BrowalliaUPC"/>
          <w:sz w:val="32"/>
          <w:szCs w:val="32"/>
          <w:cs/>
        </w:rPr>
        <w:t>จึงเป็นการจัดหาจากแหล่งผลิตที่มีศักยภาพจากสหรัฐฯ รวมถึงแหล่งผลิต</w:t>
      </w:r>
      <w:proofErr w:type="spellStart"/>
      <w:r w:rsidRPr="00A508CD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A508CD">
        <w:rPr>
          <w:rFonts w:ascii="BrowalliaUPC" w:hAnsi="BrowalliaUPC" w:cs="BrowalliaUPC"/>
          <w:sz w:val="32"/>
          <w:szCs w:val="32"/>
          <w:cs/>
        </w:rPr>
        <w:t xml:space="preserve"> ที่มีศักยภาพและคุณภาพเป็นไปตามสัญญา</w:t>
      </w:r>
    </w:p>
    <w:p w:rsidR="00A508CD" w:rsidRPr="00A508CD" w:rsidRDefault="00A508CD" w:rsidP="00A508C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508CD" w:rsidRPr="00A508CD" w:rsidRDefault="00A508CD" w:rsidP="00A508C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508CD">
        <w:rPr>
          <w:rFonts w:ascii="BrowalliaUPC" w:hAnsi="BrowalliaUPC" w:cs="BrowalliaUPC"/>
          <w:sz w:val="32"/>
          <w:szCs w:val="32"/>
          <w:cs/>
        </w:rPr>
        <w:t xml:space="preserve">        3. เมื่อวันที่ 19 กรกฎาคม 2565 ปตท. ได้มีหนังสือขอนำร่างสัญญาซื้อขายก๊าซธรรมชาติเหลวระยะยาว (</w:t>
      </w:r>
      <w:r w:rsidRPr="00A508CD">
        <w:rPr>
          <w:rFonts w:ascii="BrowalliaUPC" w:hAnsi="BrowalliaUPC" w:cs="BrowalliaUPC"/>
          <w:sz w:val="32"/>
          <w:szCs w:val="32"/>
        </w:rPr>
        <w:t xml:space="preserve">LNG Sale and Purchase Agreement: LNG SPA)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ระหว่าง ปตท. กับ </w:t>
      </w:r>
      <w:r w:rsidRPr="00A508CD">
        <w:rPr>
          <w:rFonts w:ascii="BrowalliaUPC" w:hAnsi="BrowalliaUPC" w:cs="BrowalliaUPC"/>
          <w:sz w:val="32"/>
          <w:szCs w:val="32"/>
        </w:rPr>
        <w:t xml:space="preserve">PTTGL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เพื่อเสนอ กบง. พิจารณา โดยมีสาระสำคัญในสัญญา ดังนี้ (1) ผู้ซื้อ คือ ปตท. และผู้ขาย คือ </w:t>
      </w:r>
      <w:r w:rsidRPr="00A508CD">
        <w:rPr>
          <w:rFonts w:ascii="BrowalliaUPC" w:hAnsi="BrowalliaUPC" w:cs="BrowalliaUPC"/>
          <w:sz w:val="32"/>
          <w:szCs w:val="32"/>
        </w:rPr>
        <w:t>PTTGL (</w:t>
      </w:r>
      <w:r w:rsidRPr="00A508CD">
        <w:rPr>
          <w:rFonts w:ascii="BrowalliaUPC" w:hAnsi="BrowalliaUPC" w:cs="BrowalliaUPC"/>
          <w:sz w:val="32"/>
          <w:szCs w:val="32"/>
          <w:cs/>
        </w:rPr>
        <w:t>2) ปริมาณซื้อขาย (</w:t>
      </w:r>
      <w:r w:rsidRPr="00A508CD">
        <w:rPr>
          <w:rFonts w:ascii="BrowalliaUPC" w:hAnsi="BrowalliaUPC" w:cs="BrowalliaUPC"/>
          <w:sz w:val="32"/>
          <w:szCs w:val="32"/>
        </w:rPr>
        <w:t xml:space="preserve">ACQ)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1 ล้านตันต่อปี รูปแบบการส่งมอบที่ท่าปลายทาง (3) กำหนดส่งมอบตั้งแต่เดือนมกราคม 2569 อายุสัญญา 15 ปี (ขยายสัญญาได้อีก 5 ปี หากคู่สัญญาเห็นชอบร่วมกัน) (4) แหล่งผลิต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จากสหรัฐฯ และโครงการผลิต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proofErr w:type="spellStart"/>
      <w:r w:rsidRPr="00A508CD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A508CD">
        <w:rPr>
          <w:rFonts w:ascii="BrowalliaUPC" w:hAnsi="BrowalliaUPC" w:cs="BrowalliaUPC"/>
          <w:sz w:val="32"/>
          <w:szCs w:val="32"/>
          <w:cs/>
        </w:rPr>
        <w:t xml:space="preserve"> ที่มีคุณภาพเป็นไปตามสัญญา (5) หากผู้ซื้อไม่สามารถรับ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เที่ยวเรือนั้นได้ ผู้ขายจะพยายามขาย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นั้น ให้กับผู้ซื้อรายอื่น โดยผู้ซื้อรับผิดชอบชดเชยส่วนขาดจากการขาย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>เที่ยวเรือนั้น (</w:t>
      </w:r>
      <w:r w:rsidRPr="00A508CD">
        <w:rPr>
          <w:rFonts w:ascii="BrowalliaUPC" w:hAnsi="BrowalliaUPC" w:cs="BrowalliaUPC"/>
          <w:sz w:val="32"/>
          <w:szCs w:val="32"/>
        </w:rPr>
        <w:t>Mitigation Sale) (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6) กรณีผู้ขายขาดส่งจะชดเชยไม่เกินร้อยละ 50 ของมูลค่า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ที่ผู้ขายขาดส่งตามแผน โดยกรณี </w:t>
      </w:r>
      <w:r w:rsidRPr="00A508CD">
        <w:rPr>
          <w:rFonts w:ascii="BrowalliaUPC" w:hAnsi="BrowalliaUPC" w:cs="BrowalliaUPC"/>
          <w:sz w:val="32"/>
          <w:szCs w:val="32"/>
        </w:rPr>
        <w:t xml:space="preserve">Willful Misconduct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จะชดเชยร้อยละ 100 (7) กรณีผู้ขายแจ้ง </w:t>
      </w:r>
      <w:r w:rsidRPr="00A508CD">
        <w:rPr>
          <w:rFonts w:ascii="BrowalliaUPC" w:hAnsi="BrowalliaUPC" w:cs="BrowalliaUPC"/>
          <w:sz w:val="32"/>
          <w:szCs w:val="32"/>
        </w:rPr>
        <w:t xml:space="preserve">LNG Off-Spec.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ล่วงหน้า ผู้ขายจะชดเชยค่าเสียหายจ่ายตามจริง แต่ไม่เกินร้อยละ 120 ของมูลค่าประเมิน กรณีผู้ขายไม่แจ้ง </w:t>
      </w:r>
      <w:r w:rsidRPr="00A508CD">
        <w:rPr>
          <w:rFonts w:ascii="BrowalliaUPC" w:hAnsi="BrowalliaUPC" w:cs="BrowalliaUPC"/>
          <w:sz w:val="32"/>
          <w:szCs w:val="32"/>
        </w:rPr>
        <w:t xml:space="preserve">Off-Spec.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ล่วงหน้า จะชดเชยค่าเสียหายจ่ายตามจริงแต่ไม่เกินร้อยละ 100 ของมูลค่า </w:t>
      </w:r>
      <w:r w:rsidRPr="00A508CD">
        <w:rPr>
          <w:rFonts w:ascii="BrowalliaUPC" w:hAnsi="BrowalliaUPC" w:cs="BrowalliaUPC"/>
          <w:sz w:val="32"/>
          <w:szCs w:val="32"/>
        </w:rPr>
        <w:t>LNG (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8) สูตรราคาขาย คือ </w:t>
      </w:r>
      <w:r w:rsidRPr="00A508CD">
        <w:rPr>
          <w:rFonts w:ascii="BrowalliaUPC" w:hAnsi="BrowalliaUPC" w:cs="BrowalliaUPC"/>
          <w:sz w:val="32"/>
          <w:szCs w:val="32"/>
        </w:rPr>
        <w:t xml:space="preserve">A%HH + Y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ซึ่งเป็นไปตาม </w:t>
      </w:r>
      <w:r w:rsidRPr="00A508CD">
        <w:rPr>
          <w:rFonts w:ascii="BrowalliaUPC" w:hAnsi="BrowalliaUPC" w:cs="BrowalliaUPC"/>
          <w:sz w:val="32"/>
          <w:szCs w:val="32"/>
        </w:rPr>
        <w:t xml:space="preserve">LNG Benchmark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ตามมติ </w:t>
      </w:r>
      <w:proofErr w:type="spellStart"/>
      <w:r w:rsidRPr="00A508C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A508CD">
        <w:rPr>
          <w:rFonts w:ascii="BrowalliaUPC" w:hAnsi="BrowalliaUPC" w:cs="BrowalliaUPC"/>
          <w:sz w:val="32"/>
          <w:szCs w:val="32"/>
          <w:cs/>
        </w:rPr>
        <w:t xml:space="preserve">. เมื่อวันที่ 6 มกราคม 2565 โดยร้อยละ 26 ของ </w:t>
      </w:r>
      <w:r w:rsidRPr="00A508CD">
        <w:rPr>
          <w:rFonts w:ascii="BrowalliaUPC" w:hAnsi="BrowalliaUPC" w:cs="BrowalliaUPC"/>
          <w:sz w:val="32"/>
          <w:szCs w:val="32"/>
        </w:rPr>
        <w:t xml:space="preserve">Y </w:t>
      </w:r>
      <w:r w:rsidRPr="00A508CD">
        <w:rPr>
          <w:rFonts w:ascii="BrowalliaUPC" w:hAnsi="BrowalliaUPC" w:cs="BrowalliaUPC"/>
          <w:sz w:val="32"/>
          <w:szCs w:val="32"/>
          <w:cs/>
        </w:rPr>
        <w:t>จะปรับเพิ่มขึ้นรายปีตามดัชนีราคาผู้บริโภค (</w:t>
      </w:r>
      <w:r w:rsidRPr="00A508CD">
        <w:rPr>
          <w:rFonts w:ascii="BrowalliaUPC" w:hAnsi="BrowalliaUPC" w:cs="BrowalliaUPC"/>
          <w:sz w:val="32"/>
          <w:szCs w:val="32"/>
        </w:rPr>
        <w:t xml:space="preserve">US CPI)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ทั้งนี้ มีการกำหนดสิทธิในการปรับลดเที่ยวเรือ ไม่เกิน 1 เที่ยวเรือต่อปี และไม่เกิน 3 เที่ยวเรือตลอดอายุสัญญา สิทธิในการปรับเพิ่มเที่ยวเรือ ไม่เกิน 1 เที่ยวเรือต่อปี (โดยความเห็นชอบจากผู้ขาย) และสิทธิในการยกเลิกเที่ยวเรือ โดยผู้ซื้อต้องแจ้งให้ผู้ขายทราบล่วงหน้าตามกำหนดเวลาในสัญญา โดยสามารถเลือกให้ผู้ขายดำเนินการ </w:t>
      </w:r>
      <w:r w:rsidRPr="00A508CD">
        <w:rPr>
          <w:rFonts w:ascii="BrowalliaUPC" w:hAnsi="BrowalliaUPC" w:cs="BrowalliaUPC"/>
          <w:sz w:val="32"/>
          <w:szCs w:val="32"/>
        </w:rPr>
        <w:t xml:space="preserve">Mitigation Sales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A508CD">
        <w:rPr>
          <w:rFonts w:ascii="BrowalliaUPC" w:hAnsi="BrowalliaUPC" w:cs="BrowalliaUPC"/>
          <w:sz w:val="32"/>
          <w:szCs w:val="32"/>
        </w:rPr>
        <w:t>Cancellation Fee (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9) ผู้ซื้อสามารถตกลงนำ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ไปขายตลาดอื่น ที่กำหนดได้ โดยแบ่งกำไรหลังหักค่าใช้จ่ายกับผู้ขาย ในสัดส่วน 50 : 50 (10) สัญญานี้ตีความตามกฎหมายไทย โดยใช้วิธีระงับข้อพิพาทตามระเบียบภายในกลุ่ม ปตท. หากตกลงกันไม่ได้ให้ดำเนินการตามศาลไทย และ (11) ผู้ขายเสนอขาย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ปริมาณ 0.2 - 0.4 ล้านตันต่อปี ในช่วงปี 2566 - 2568 ที่ราคา </w:t>
      </w:r>
      <w:r w:rsidRPr="00A508CD">
        <w:rPr>
          <w:rFonts w:ascii="BrowalliaUPC" w:hAnsi="BrowalliaUPC" w:cs="BrowalliaUPC"/>
          <w:sz w:val="32"/>
          <w:szCs w:val="32"/>
        </w:rPr>
        <w:t xml:space="preserve">JKM Discount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ซึ่งจะมีแผน ส่งมอบที่ชัดเจน หาก ปตท. มีความต้องการใช้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>ในช่วง</w:t>
      </w:r>
      <w:r w:rsidRPr="00A508CD">
        <w:rPr>
          <w:rFonts w:ascii="BrowalliaUPC" w:hAnsi="BrowalliaUPC" w:cs="BrowalliaUPC"/>
          <w:sz w:val="32"/>
          <w:szCs w:val="32"/>
          <w:cs/>
        </w:rPr>
        <w:lastRenderedPageBreak/>
        <w:t xml:space="preserve">เวลาดังกล่าว ทั้งนี้ เมื่อวันที่ 20 กรกฎาคม 2565 กกพ. ได้พิจารณาสัญญาซื้อขาย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ระยะยาว ระหว่าง ปตท. และ </w:t>
      </w:r>
      <w:r w:rsidRPr="00A508CD">
        <w:rPr>
          <w:rFonts w:ascii="BrowalliaUPC" w:hAnsi="BrowalliaUPC" w:cs="BrowalliaUPC"/>
          <w:sz w:val="32"/>
          <w:szCs w:val="32"/>
        </w:rPr>
        <w:t xml:space="preserve">PTTGL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และได้มีมติเห็นชอบราคาซื้อขาย </w:t>
      </w:r>
      <w:r w:rsidRPr="00A508CD">
        <w:rPr>
          <w:rFonts w:ascii="BrowalliaUPC" w:hAnsi="BrowalliaUPC" w:cs="BrowalliaUPC"/>
          <w:sz w:val="32"/>
          <w:szCs w:val="32"/>
        </w:rPr>
        <w:t xml:space="preserve">LNG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ระยะยาวตามที่ ปตท. เสนอ ซึ่งเป็นไปตาม </w:t>
      </w:r>
      <w:r w:rsidRPr="00A508CD">
        <w:rPr>
          <w:rFonts w:ascii="BrowalliaUPC" w:hAnsi="BrowalliaUPC" w:cs="BrowalliaUPC"/>
          <w:sz w:val="32"/>
          <w:szCs w:val="32"/>
        </w:rPr>
        <w:t xml:space="preserve">LNG Benchmark </w:t>
      </w:r>
      <w:r w:rsidRPr="00A508CD">
        <w:rPr>
          <w:rFonts w:ascii="BrowalliaUPC" w:hAnsi="BrowalliaUPC" w:cs="BrowalliaUPC"/>
          <w:sz w:val="32"/>
          <w:szCs w:val="32"/>
          <w:cs/>
        </w:rPr>
        <w:t xml:space="preserve">ที่ </w:t>
      </w:r>
      <w:proofErr w:type="spellStart"/>
      <w:r w:rsidRPr="00A508C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A508CD">
        <w:rPr>
          <w:rFonts w:ascii="BrowalliaUPC" w:hAnsi="BrowalliaUPC" w:cs="BrowalliaUPC"/>
          <w:sz w:val="32"/>
          <w:szCs w:val="32"/>
          <w:cs/>
        </w:rPr>
        <w:t>. กำหนด เมื่อวันที่ 6 มกราคม 2565</w:t>
      </w:r>
    </w:p>
    <w:p w:rsidR="00A508CD" w:rsidRPr="00A508CD" w:rsidRDefault="00A508CD" w:rsidP="00A508C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508CD" w:rsidRPr="00A508CD" w:rsidRDefault="00A508CD" w:rsidP="00A508C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508CD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A508CD" w:rsidRPr="00A508CD" w:rsidRDefault="00A508CD" w:rsidP="00A508C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508CD">
        <w:rPr>
          <w:rFonts w:ascii="BrowalliaUPC" w:hAnsi="BrowalliaUPC" w:cs="BrowalliaUPC"/>
          <w:sz w:val="32"/>
          <w:szCs w:val="32"/>
          <w:cs/>
        </w:rPr>
        <w:t xml:space="preserve">    1. รับทราบสาระสำคัญของร่างสัญญาซื้อขายก๊าซธรรมชาติเหลวระยะยาว (</w:t>
      </w:r>
      <w:r w:rsidRPr="00A508CD">
        <w:rPr>
          <w:rFonts w:ascii="BrowalliaUPC" w:hAnsi="BrowalliaUPC" w:cs="BrowalliaUPC"/>
          <w:sz w:val="32"/>
          <w:szCs w:val="32"/>
        </w:rPr>
        <w:t xml:space="preserve">LNG SPA) </w:t>
      </w:r>
      <w:r w:rsidRPr="00A508CD">
        <w:rPr>
          <w:rFonts w:ascii="BrowalliaUPC" w:hAnsi="BrowalliaUPC" w:cs="BrowalliaUPC"/>
          <w:sz w:val="32"/>
          <w:szCs w:val="32"/>
          <w:cs/>
        </w:rPr>
        <w:t>ระหว่างบริษัท ปตท. จำกัด (มหาชน) (ปตท.) กับบริษัท พีทีที โกลบอล แอลเอ็นจี จำกัด (</w:t>
      </w:r>
      <w:r w:rsidRPr="00A508CD">
        <w:rPr>
          <w:rFonts w:ascii="BrowalliaUPC" w:hAnsi="BrowalliaUPC" w:cs="BrowalliaUPC"/>
          <w:sz w:val="32"/>
          <w:szCs w:val="32"/>
        </w:rPr>
        <w:t>PTTGL)</w:t>
      </w:r>
    </w:p>
    <w:p w:rsidR="00A508CD" w:rsidRPr="00A508CD" w:rsidRDefault="00A508CD" w:rsidP="00A508C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508CD">
        <w:rPr>
          <w:rFonts w:ascii="BrowalliaUPC" w:hAnsi="BrowalliaUPC" w:cs="BrowalliaUPC"/>
          <w:sz w:val="32"/>
          <w:szCs w:val="32"/>
          <w:cs/>
        </w:rPr>
        <w:t xml:space="preserve">    2. เห็นชอบราคาซื้อขาย </w:t>
      </w:r>
      <w:r w:rsidRPr="00A508CD">
        <w:rPr>
          <w:rFonts w:ascii="BrowalliaUPC" w:hAnsi="BrowalliaUPC" w:cs="BrowalliaUPC"/>
          <w:sz w:val="32"/>
          <w:szCs w:val="32"/>
        </w:rPr>
        <w:t xml:space="preserve">LNG (Contract Price) </w:t>
      </w:r>
      <w:r w:rsidRPr="00A508CD">
        <w:rPr>
          <w:rFonts w:ascii="BrowalliaUPC" w:hAnsi="BrowalliaUPC" w:cs="BrowalliaUPC"/>
          <w:sz w:val="32"/>
          <w:szCs w:val="32"/>
          <w:cs/>
        </w:rPr>
        <w:t>ตามที่คณะกรรมการกำกับกิจการพลังงาน (กกพ.) ได้ให้ความเห็นชอบแล้ว ทั้งนี้ ให้ กกพ. ไปตรวจทาน เปรียบเทียบกับสัญญาซื้อขายก๊าซธรรมชาติระยะยาวของ ปตท. ฉบับ</w:t>
      </w:r>
      <w:proofErr w:type="spellStart"/>
      <w:r w:rsidRPr="00A508CD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A508CD">
        <w:rPr>
          <w:rFonts w:ascii="BrowalliaUPC" w:hAnsi="BrowalliaUPC" w:cs="BrowalliaUPC"/>
          <w:sz w:val="32"/>
          <w:szCs w:val="32"/>
          <w:cs/>
        </w:rPr>
        <w:t xml:space="preserve"> ว่าสามารถกำกับดูแลได้โดยประเทศไม่เสียประโยชน์</w:t>
      </w:r>
    </w:p>
    <w:p w:rsidR="00842C99" w:rsidRPr="00015F5C" w:rsidRDefault="00A508CD" w:rsidP="00A508C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508CD">
        <w:rPr>
          <w:rFonts w:ascii="BrowalliaUPC" w:hAnsi="BrowalliaUPC" w:cs="BrowalliaUPC"/>
          <w:sz w:val="32"/>
          <w:szCs w:val="32"/>
          <w:cs/>
        </w:rPr>
        <w:t xml:space="preserve">    3. มอบหมายให้ ปตท. ลงนามในสัญญาซื้อขายก๊าซธรรมชาติเหลวระยะยาว กับ </w:t>
      </w:r>
      <w:r w:rsidRPr="00A508CD">
        <w:rPr>
          <w:rFonts w:ascii="BrowalliaUPC" w:hAnsi="BrowalliaUPC" w:cs="BrowalliaUPC"/>
          <w:sz w:val="32"/>
          <w:szCs w:val="32"/>
        </w:rPr>
        <w:t xml:space="preserve">PTTGL </w:t>
      </w:r>
      <w:r w:rsidRPr="00A508CD">
        <w:rPr>
          <w:rFonts w:ascii="BrowalliaUPC" w:hAnsi="BrowalliaUPC" w:cs="BrowalliaUPC"/>
          <w:sz w:val="32"/>
          <w:szCs w:val="32"/>
          <w:cs/>
        </w:rPr>
        <w:t>ภายหลังจากที่ร่างสัญญาฯ ได้ผ่านการตรวจพิจารณาจากสำนักงานอัยการสูงสุด ทั้งนี้ หากจำเป็นต้องมีการแก้ไข ร่างสัญญาฯ ดังกล่าวที่ไม่ใช่สาระสำคัญ และไม่กระทบต่อสูตรราคา ปริมาณซื้อขาย (</w:t>
      </w:r>
      <w:r w:rsidRPr="00A508CD">
        <w:rPr>
          <w:rFonts w:ascii="BrowalliaUPC" w:hAnsi="BrowalliaUPC" w:cs="BrowalliaUPC"/>
          <w:sz w:val="32"/>
          <w:szCs w:val="32"/>
        </w:rPr>
        <w:t xml:space="preserve">ACQ) </w:t>
      </w:r>
      <w:r w:rsidRPr="00A508CD">
        <w:rPr>
          <w:rFonts w:ascii="BrowalliaUPC" w:hAnsi="BrowalliaUPC" w:cs="BrowalliaUPC"/>
          <w:sz w:val="32"/>
          <w:szCs w:val="32"/>
          <w:cs/>
        </w:rPr>
        <w:t>รวมทั้งกำหนดแผนงานที่เกี่ยวข้องกับการส่งมอบ ให้ ปตท. หารือ กกพ. ให้ได้ข้อยุติก่อนนำเสนอคณะกรรมการ ปตท. พิจารณาแก้ไขต่อไป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C1F34"/>
    <w:rsid w:val="000D17E5"/>
    <w:rsid w:val="001015FC"/>
    <w:rsid w:val="001104AF"/>
    <w:rsid w:val="00125423"/>
    <w:rsid w:val="001353EF"/>
    <w:rsid w:val="001530D9"/>
    <w:rsid w:val="00164801"/>
    <w:rsid w:val="00186210"/>
    <w:rsid w:val="00190A93"/>
    <w:rsid w:val="00197948"/>
    <w:rsid w:val="001C3AC4"/>
    <w:rsid w:val="001E21DF"/>
    <w:rsid w:val="001E5891"/>
    <w:rsid w:val="001F4883"/>
    <w:rsid w:val="0023395D"/>
    <w:rsid w:val="00254075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04A93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35A48"/>
    <w:rsid w:val="00651390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36B6B"/>
    <w:rsid w:val="00842C99"/>
    <w:rsid w:val="00845AA0"/>
    <w:rsid w:val="00882D2F"/>
    <w:rsid w:val="008A2506"/>
    <w:rsid w:val="008B6F92"/>
    <w:rsid w:val="008D4C29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1D58"/>
    <w:rsid w:val="00A036A0"/>
    <w:rsid w:val="00A0386A"/>
    <w:rsid w:val="00A14466"/>
    <w:rsid w:val="00A508CD"/>
    <w:rsid w:val="00AB00BD"/>
    <w:rsid w:val="00AC06B4"/>
    <w:rsid w:val="00AC25CE"/>
    <w:rsid w:val="00AC2E86"/>
    <w:rsid w:val="00AD0530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D5B79"/>
    <w:rsid w:val="00BF6BE2"/>
    <w:rsid w:val="00C009AA"/>
    <w:rsid w:val="00C150FC"/>
    <w:rsid w:val="00C16C7B"/>
    <w:rsid w:val="00C53F67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45FB0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1687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4F8A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306</cp:revision>
  <dcterms:created xsi:type="dcterms:W3CDTF">2018-03-30T07:36:00Z</dcterms:created>
  <dcterms:modified xsi:type="dcterms:W3CDTF">2022-09-27T03:51:00Z</dcterms:modified>
</cp:coreProperties>
</file>